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spacing w:before="0" w:after="40" w:line="276" w:lineRule="auto"/>
      </w:pPr>
      <w:r>
        <w:rPr>
          <w:b/>
          <w:color w:val="043C32"/>
          <w:sz w:val="40"/>
        </w:rPr>
        <w:t xml:space="preserve">RETAINER AGREEMENT</w:t>
      </w:r>
    </w:p>
    <w:p>
      <w:pPr>
        <w:spacing w:before="0" w:after="280" w:line="276" w:lineRule="auto"/>
        <w:pBdr>
          <w:bottom w:val="single" w:sz="4" w:space="4" w:color="DFE4E0"/>
        </w:pBdr>
      </w:pPr>
      <w:r>
        <w:rPr>
          <w:b/>
          <w:color w:val="043C32"/>
          <w:sz w:val="21"/>
          <w:shd w:val="clear" w:color="auto" w:fill="F1FCE5"/>
        </w:rPr>
        <w:t xml:space="preserve">{{CLIENT_NAME}}</w:t>
      </w:r>
      <w:r>
        <w:rPr>
          <w:color w:val="6B736F"/>
          <w:sz w:val="21"/>
        </w:rPr>
        <w:t xml:space="preserve"> and </w:t>
      </w:r>
      <w:r>
        <w:rPr>
          <w:b/>
          <w:color w:val="043C32"/>
          <w:sz w:val="21"/>
          <w:shd w:val="clear" w:color="auto" w:fill="F1FCE5"/>
        </w:rPr>
        <w:t xml:space="preserve">{{FREELANCER_BUSINESS}}</w:t>
      </w:r>
    </w:p>
    <w:p>
      <w:pPr>
        <w:spacing w:before="160" w:after="220" w:line="276" w:lineRule="auto"/>
        <w:shd w:val="clear" w:color="auto" w:fill="F1F3F1"/>
      </w:pPr>
      <w:r>
        <w:rPr>
          <w:color w:val="6B736F"/>
          <w:sz w:val="19"/>
        </w:rPr>
        <w:t xml:space="preserve">This template provides general information and is not legal advice. Laws and contractual requirements vary by jurisdiction. Have the agreement reviewed by a qualified adviser if the value of the arrangement warrants it.</w:t>
      </w:r>
    </w:p>
    <w:p>
      <w:pPr>
        <w:keepNext/>
        <w:keepLines/>
        <w:spacing w:before="280" w:after="100" w:line="276" w:lineRule="auto"/>
        <w:pBdr>
          <w:bottom w:val="single" w:sz="4" w:space="4" w:color="DFE4E0"/>
        </w:pBdr>
      </w:pPr>
      <w:r>
        <w:rPr>
          <w:b/>
          <w:color w:val="043C32"/>
          <w:sz w:val="26"/>
        </w:rPr>
        <w:t xml:space="preserve">1. Parties</w:t>
      </w:r>
    </w:p>
    <w:tbl>
      <w:tblPr>
        <w:tblW w:w="0" w:type="auto"/>
        <w:tblBorders>
          <w:insideH w:val="single" w:sz="4" w:space="0" w:color="DFE4E0"/>
          <w:bottom w:val="single" w:sz="4" w:space="0" w:color="DFE4E0"/>
          <w:top w:val="single" w:sz="4" w:space="0" w:color="DFE4E0"/>
        </w:tblBorders>
        <w:tblLayout w:type="fixed"/>
      </w:tblPr>
      <w:tblGrid>
        <w:gridCol w:w="2995"/>
        <w:gridCol w:w="6365"/>
      </w:tblGrid>
      <w:tr>
        <w:tc>
          <w:tcPr>
            <w:tcW w:w="2995" w:type="dxa"/>
            <w:tcMar>
              <w:top w:w="70" w:type="dxa"/>
              <w:bottom w:w="70" w:type="dxa"/>
              <w:left w:w="0" w:type="dxa"/>
              <w:right w:w="100" w:type="dxa"/>
            </w:tcMar>
          </w:tcPr>
          <w:p>
            <w:pPr>
              <w:spacing w:before="0" w:after="0" w:line="240" w:lineRule="auto"/>
            </w:pPr>
            <w:r>
              <w:rPr>
                <w:b/>
                <w:color w:val="6B736F"/>
                <w:sz w:val="20"/>
              </w:rPr>
              <w:t xml:space="preserve">The Client</w:t>
            </w:r>
          </w:p>
        </w:tc>
        <w:tc>
          <w:tcPr>
            <w:tcW w:w="6365" w:type="dxa"/>
            <w:tcMar>
              <w:top w:w="70" w:type="dxa"/>
              <w:bottom w:w="70" w:type="dxa"/>
              <w:left w:w="0" w:type="dxa"/>
              <w:right w:w="100" w:type="dxa"/>
            </w:tcMar>
          </w:tcPr>
          <w:p>
            <w:pPr>
              <w:spacing w:before="0" w:after="0" w:line="240" w:lineRule="auto"/>
            </w:pPr>
            <w:r>
              <w:rPr>
                <w:b/>
                <w:color w:val="043C32"/>
                <w:sz w:val="21"/>
                <w:shd w:val="clear" w:color="auto" w:fill="F1FCE5"/>
              </w:rPr>
              <w:t xml:space="preserve">{{CLIENT_NAME}}</w:t>
            </w:r>
            <w:r>
              <w:rPr>
                <w:color w:val="17211F"/>
                <w:sz w:val="21"/>
              </w:rPr>
              <w:t xml:space="preserve">, </w:t>
            </w:r>
            <w:r>
              <w:rPr>
                <w:b/>
                <w:color w:val="043C32"/>
                <w:sz w:val="21"/>
                <w:shd w:val="clear" w:color="auto" w:fill="F1FCE5"/>
              </w:rPr>
              <w:t xml:space="preserve">{{CLIENT_ADDRESS}}</w:t>
            </w:r>
          </w:p>
        </w:tc>
      </w:tr>
      <w:tr>
        <w:tc>
          <w:tcPr>
            <w:tcW w:w="2995" w:type="dxa"/>
            <w:tcMar>
              <w:top w:w="70" w:type="dxa"/>
              <w:bottom w:w="70" w:type="dxa"/>
              <w:left w:w="0" w:type="dxa"/>
              <w:right w:w="100" w:type="dxa"/>
            </w:tcMar>
          </w:tcPr>
          <w:p>
            <w:pPr>
              <w:spacing w:before="0" w:after="0" w:line="240" w:lineRule="auto"/>
            </w:pPr>
            <w:r>
              <w:rPr>
                <w:b/>
                <w:color w:val="6B736F"/>
                <w:sz w:val="20"/>
              </w:rPr>
              <w:t xml:space="preserve">The Contractor</w:t>
            </w:r>
          </w:p>
        </w:tc>
        <w:tc>
          <w:tcPr>
            <w:tcW w:w="6365" w:type="dxa"/>
            <w:tcMar>
              <w:top w:w="70" w:type="dxa"/>
              <w:bottom w:w="70" w:type="dxa"/>
              <w:left w:w="0" w:type="dxa"/>
              <w:right w:w="100" w:type="dxa"/>
            </w:tcMar>
          </w:tcPr>
          <w:p>
            <w:pPr>
              <w:spacing w:before="0" w:after="0" w:line="240" w:lineRule="auto"/>
            </w:pPr>
            <w:r>
              <w:rPr>
                <w:b/>
                <w:color w:val="043C32"/>
                <w:sz w:val="21"/>
                <w:shd w:val="clear" w:color="auto" w:fill="F1FCE5"/>
              </w:rPr>
              <w:t xml:space="preserve">{{FREELANCER_BUSINESS}}</w:t>
            </w:r>
            <w:r>
              <w:rPr>
                <w:color w:val="17211F"/>
                <w:sz w:val="21"/>
              </w:rPr>
              <w:t xml:space="preserve">, </w:t>
            </w:r>
            <w:r>
              <w:rPr>
                <w:b/>
                <w:color w:val="043C32"/>
                <w:sz w:val="21"/>
                <w:shd w:val="clear" w:color="auto" w:fill="F1FCE5"/>
              </w:rPr>
              <w:t xml:space="preserve">{{FREELANCER_ADDRESS}}</w:t>
            </w:r>
          </w:p>
        </w:tc>
      </w:tr>
      <w:tr>
        <w:tc>
          <w:tcPr>
            <w:tcW w:w="2995" w:type="dxa"/>
            <w:tcMar>
              <w:top w:w="70" w:type="dxa"/>
              <w:bottom w:w="70" w:type="dxa"/>
              <w:left w:w="0" w:type="dxa"/>
              <w:right w:w="100" w:type="dxa"/>
            </w:tcMar>
          </w:tcPr>
          <w:p>
            <w:pPr>
              <w:spacing w:before="0" w:after="0" w:line="240" w:lineRule="auto"/>
            </w:pPr>
            <w:r>
              <w:rPr>
                <w:b/>
                <w:color w:val="6B736F"/>
                <w:sz w:val="20"/>
              </w:rPr>
              <w:t xml:space="preserve">Effective date</w:t>
            </w:r>
          </w:p>
        </w:tc>
        <w:tc>
          <w:tcPr>
            <w:tcW w:w="6365" w:type="dxa"/>
            <w:tcMar>
              <w:top w:w="70" w:type="dxa"/>
              <w:bottom w:w="70" w:type="dxa"/>
              <w:left w:w="0" w:type="dxa"/>
              <w:right w:w="100" w:type="dxa"/>
            </w:tcMar>
          </w:tcPr>
          <w:p>
            <w:pPr>
              <w:spacing w:before="0" w:after="0" w:line="240" w:lineRule="auto"/>
            </w:pPr>
            <w:r>
              <w:rPr>
                <w:b/>
                <w:color w:val="043C32"/>
                <w:sz w:val="21"/>
                <w:shd w:val="clear" w:color="auto" w:fill="F1FCE5"/>
              </w:rPr>
              <w:t xml:space="preserve">{{EFFECTIVE_DATE}}</w:t>
            </w:r>
          </w:p>
        </w:tc>
      </w:tr>
      <w:tr>
        <w:tc>
          <w:tcPr>
            <w:tcW w:w="2995" w:type="dxa"/>
            <w:tcMar>
              <w:top w:w="70" w:type="dxa"/>
              <w:bottom w:w="70" w:type="dxa"/>
              <w:left w:w="0" w:type="dxa"/>
              <w:right w:w="100" w:type="dxa"/>
            </w:tcMar>
          </w:tcPr>
          <w:p>
            <w:pPr>
              <w:spacing w:before="0" w:after="0" w:line="240" w:lineRule="auto"/>
            </w:pPr>
            <w:r>
              <w:rPr>
                <w:b/>
                <w:color w:val="6B736F"/>
                <w:sz w:val="20"/>
              </w:rPr>
              <w:t xml:space="preserve">Initial term</w:t>
            </w:r>
          </w:p>
        </w:tc>
        <w:tc>
          <w:tcPr>
            <w:tcW w:w="6365" w:type="dxa"/>
            <w:tcMar>
              <w:top w:w="70" w:type="dxa"/>
              <w:bottom w:w="70" w:type="dxa"/>
              <w:left w:w="0" w:type="dxa"/>
              <w:right w:w="100" w:type="dxa"/>
            </w:tcMar>
          </w:tcPr>
          <w:p>
            <w:pPr>
              <w:spacing w:before="0" w:after="0" w:line="240" w:lineRule="auto"/>
            </w:pPr>
            <w:r>
              <w:rPr>
                <w:b/>
                <w:color w:val="043C32"/>
                <w:sz w:val="21"/>
                <w:shd w:val="clear" w:color="auto" w:fill="F1FCE5"/>
              </w:rPr>
              <w:t xml:space="preserve">{{INITIAL_TERM_MONTHS}}</w:t>
            </w:r>
            <w:r>
              <w:rPr>
                <w:color w:val="17211F"/>
                <w:sz w:val="21"/>
              </w:rPr>
              <w:t xml:space="preserve"> months</w:t>
            </w:r>
          </w:p>
        </w:tc>
      </w:tr>
    </w:tbl>
    <w:p>
      <w:pPr>
        <w:spacing w:after="0" w:line="120" w:lineRule="auto"/>
      </w:pPr>
    </w:p>
    <w:p>
      <w:pPr>
        <w:keepNext/>
        <w:keepLines/>
        <w:spacing w:before="280" w:after="100" w:line="276" w:lineRule="auto"/>
        <w:pBdr>
          <w:bottom w:val="single" w:sz="4" w:space="4" w:color="DFE4E0"/>
        </w:pBdr>
      </w:pPr>
      <w:r>
        <w:rPr>
          <w:b/>
          <w:color w:val="043C32"/>
          <w:sz w:val="26"/>
        </w:rPr>
        <w:t xml:space="preserve">2. Services covered</w:t>
      </w:r>
    </w:p>
    <w:p>
      <w:pPr>
        <w:spacing w:before="0" w:after="140" w:line="276" w:lineRule="auto"/>
      </w:pPr>
      <w:r>
        <w:rPr>
          <w:color w:val="17211F"/>
          <w:sz w:val="22"/>
        </w:rPr>
        <w:t xml:space="preserve">The Contractor will provide the following services during each monthly period.</w:t>
      </w:r>
    </w:p>
    <w:p>
      <w:pPr>
        <w:spacing w:before="0" w:after="70" w:line="276" w:lineRule="auto"/>
        <w:ind w:left="340" w:hanging="200"/>
      </w:pPr>
      <w:r>
        <w:rPr>
          <w:color w:val="043C32"/>
          <w:sz w:val="22"/>
        </w:rPr>
        <w:t xml:space="preserve">•  </w:t>
      </w:r>
      <w:r>
        <w:rPr>
          <w:b/>
          <w:color w:val="043C32"/>
          <w:sz w:val="22"/>
          <w:shd w:val="clear" w:color="auto" w:fill="F1FCE5"/>
        </w:rPr>
        <w:t xml:space="preserve">{{SERVICE_1}}</w:t>
      </w:r>
    </w:p>
    <w:p>
      <w:pPr>
        <w:spacing w:before="0" w:after="70" w:line="276" w:lineRule="auto"/>
        <w:ind w:left="340" w:hanging="200"/>
      </w:pPr>
      <w:r>
        <w:rPr>
          <w:color w:val="043C32"/>
          <w:sz w:val="22"/>
        </w:rPr>
        <w:t xml:space="preserve">•  </w:t>
      </w:r>
      <w:r>
        <w:rPr>
          <w:b/>
          <w:color w:val="043C32"/>
          <w:sz w:val="22"/>
          <w:shd w:val="clear" w:color="auto" w:fill="F1FCE5"/>
        </w:rPr>
        <w:t xml:space="preserve">{{SERVICE_2}}</w:t>
      </w:r>
    </w:p>
    <w:p>
      <w:pPr>
        <w:spacing w:before="0" w:after="70" w:line="276" w:lineRule="auto"/>
        <w:ind w:left="340" w:hanging="200"/>
      </w:pPr>
      <w:r>
        <w:rPr>
          <w:color w:val="043C32"/>
          <w:sz w:val="22"/>
        </w:rPr>
        <w:t xml:space="preserve">•  </w:t>
      </w:r>
      <w:r>
        <w:rPr>
          <w:b/>
          <w:color w:val="043C32"/>
          <w:sz w:val="22"/>
          <w:shd w:val="clear" w:color="auto" w:fill="F1FCE5"/>
        </w:rPr>
        <w:t xml:space="preserve">{{SERVICE_3}}</w:t>
      </w:r>
    </w:p>
    <w:p>
      <w:pPr>
        <w:spacing w:before="0" w:after="140" w:line="276" w:lineRule="auto"/>
      </w:pPr>
      <w:r>
        <w:rPr>
          <w:color w:val="6B736F"/>
          <w:sz w:val="19"/>
        </w:rPr>
        <w:t xml:space="preserve">Work not described above is outside this retainer and is quoted separately before it begins.</w:t>
      </w:r>
    </w:p>
    <w:p>
      <w:pPr>
        <w:keepNext/>
        <w:keepLines/>
        <w:spacing w:before="280" w:after="100" w:line="276" w:lineRule="auto"/>
        <w:pBdr>
          <w:bottom w:val="single" w:sz="4" w:space="4" w:color="DFE4E0"/>
        </w:pBdr>
      </w:pPr>
      <w:r>
        <w:rPr>
          <w:b/>
          <w:color w:val="043C32"/>
          <w:sz w:val="26"/>
        </w:rPr>
        <w:t xml:space="preserve">3. Retainer fee and included hours</w:t>
      </w:r>
    </w:p>
    <w:tbl>
      <w:tblPr>
        <w:tblW w:w="0" w:type="auto"/>
        <w:tblBorders>
          <w:insideH w:val="single" w:sz="4" w:space="0" w:color="DFE4E0"/>
          <w:bottom w:val="single" w:sz="4" w:space="0" w:color="DFE4E0"/>
          <w:top w:val="single" w:sz="4" w:space="0" w:color="DFE4E0"/>
        </w:tblBorders>
        <w:tblLayout w:type="fixed"/>
      </w:tblPr>
      <w:tblGrid>
        <w:gridCol w:w="2995"/>
        <w:gridCol w:w="6365"/>
      </w:tblGrid>
      <w:tr>
        <w:tc>
          <w:tcPr>
            <w:tcW w:w="2995" w:type="dxa"/>
            <w:tcMar>
              <w:top w:w="70" w:type="dxa"/>
              <w:bottom w:w="70" w:type="dxa"/>
              <w:left w:w="0" w:type="dxa"/>
              <w:right w:w="100" w:type="dxa"/>
            </w:tcMar>
          </w:tcPr>
          <w:p>
            <w:pPr>
              <w:spacing w:before="0" w:after="0" w:line="240" w:lineRule="auto"/>
            </w:pPr>
            <w:r>
              <w:rPr>
                <w:b/>
                <w:color w:val="6B736F"/>
                <w:sz w:val="20"/>
              </w:rPr>
              <w:t xml:space="preserve">Monthly retainer</w:t>
            </w:r>
          </w:p>
        </w:tc>
        <w:tc>
          <w:tcPr>
            <w:tcW w:w="6365" w:type="dxa"/>
            <w:tcMar>
              <w:top w:w="70" w:type="dxa"/>
              <w:bottom w:w="70" w:type="dxa"/>
              <w:left w:w="0" w:type="dxa"/>
              <w:right w:w="100" w:type="dxa"/>
            </w:tcMar>
          </w:tcPr>
          <w:p>
            <w:pPr>
              <w:spacing w:before="0" w:after="0" w:line="240" w:lineRule="auto"/>
            </w:pPr>
            <w:r>
              <w:rPr>
                <w:b/>
                <w:color w:val="043C32"/>
                <w:sz w:val="21"/>
                <w:shd w:val="clear" w:color="auto" w:fill="F1FCE5"/>
              </w:rPr>
              <w:t xml:space="preserve">{{MONTHLY_FEE}}</w:t>
            </w:r>
          </w:p>
        </w:tc>
      </w:tr>
      <w:tr>
        <w:tc>
          <w:tcPr>
            <w:tcW w:w="2995" w:type="dxa"/>
            <w:tcMar>
              <w:top w:w="70" w:type="dxa"/>
              <w:bottom w:w="70" w:type="dxa"/>
              <w:left w:w="0" w:type="dxa"/>
              <w:right w:w="100" w:type="dxa"/>
            </w:tcMar>
          </w:tcPr>
          <w:p>
            <w:pPr>
              <w:spacing w:before="0" w:after="0" w:line="240" w:lineRule="auto"/>
            </w:pPr>
            <w:r>
              <w:rPr>
                <w:b/>
                <w:color w:val="6B736F"/>
                <w:sz w:val="20"/>
              </w:rPr>
              <w:t xml:space="preserve">Included hours per month</w:t>
            </w:r>
          </w:p>
        </w:tc>
        <w:tc>
          <w:tcPr>
            <w:tcW w:w="6365" w:type="dxa"/>
            <w:tcMar>
              <w:top w:w="70" w:type="dxa"/>
              <w:bottom w:w="70" w:type="dxa"/>
              <w:left w:w="0" w:type="dxa"/>
              <w:right w:w="100" w:type="dxa"/>
            </w:tcMar>
          </w:tcPr>
          <w:p>
            <w:pPr>
              <w:spacing w:before="0" w:after="0" w:line="240" w:lineRule="auto"/>
            </w:pPr>
            <w:r>
              <w:rPr>
                <w:b/>
                <w:color w:val="043C32"/>
                <w:sz w:val="21"/>
                <w:shd w:val="clear" w:color="auto" w:fill="F1FCE5"/>
              </w:rPr>
              <w:t xml:space="preserve">{{INCLUDED_HOURS}}</w:t>
            </w:r>
          </w:p>
        </w:tc>
      </w:tr>
      <w:tr>
        <w:tc>
          <w:tcPr>
            <w:tcW w:w="2995" w:type="dxa"/>
            <w:tcMar>
              <w:top w:w="70" w:type="dxa"/>
              <w:bottom w:w="70" w:type="dxa"/>
              <w:left w:w="0" w:type="dxa"/>
              <w:right w:w="100" w:type="dxa"/>
            </w:tcMar>
          </w:tcPr>
          <w:p>
            <w:pPr>
              <w:spacing w:before="0" w:after="0" w:line="240" w:lineRule="auto"/>
            </w:pPr>
            <w:r>
              <w:rPr>
                <w:b/>
                <w:color w:val="6B736F"/>
                <w:sz w:val="20"/>
              </w:rPr>
              <w:t xml:space="preserve">Hourly equivalent</w:t>
            </w:r>
          </w:p>
        </w:tc>
        <w:tc>
          <w:tcPr>
            <w:tcW w:w="6365" w:type="dxa"/>
            <w:tcMar>
              <w:top w:w="70" w:type="dxa"/>
              <w:bottom w:w="70" w:type="dxa"/>
              <w:left w:w="0" w:type="dxa"/>
              <w:right w:w="100" w:type="dxa"/>
            </w:tcMar>
          </w:tcPr>
          <w:p>
            <w:pPr>
              <w:spacing w:before="0" w:after="0" w:line="240" w:lineRule="auto"/>
            </w:pPr>
            <w:r>
              <w:rPr>
                <w:b/>
                <w:color w:val="043C32"/>
                <w:sz w:val="21"/>
                <w:shd w:val="clear" w:color="auto" w:fill="F1FCE5"/>
              </w:rPr>
              <w:t xml:space="preserve">{{HOURLY_EQUIVALENT}}</w:t>
            </w:r>
          </w:p>
        </w:tc>
      </w:tr>
      <w:tr>
        <w:tc>
          <w:tcPr>
            <w:tcW w:w="2995" w:type="dxa"/>
            <w:tcMar>
              <w:top w:w="70" w:type="dxa"/>
              <w:bottom w:w="70" w:type="dxa"/>
              <w:left w:w="0" w:type="dxa"/>
              <w:right w:w="100" w:type="dxa"/>
            </w:tcMar>
          </w:tcPr>
          <w:p>
            <w:pPr>
              <w:spacing w:before="0" w:after="0" w:line="240" w:lineRule="auto"/>
            </w:pPr>
            <w:r>
              <w:rPr>
                <w:b/>
                <w:color w:val="6B736F"/>
                <w:sz w:val="20"/>
              </w:rPr>
              <w:t xml:space="preserve">Overage rate</w:t>
            </w:r>
          </w:p>
        </w:tc>
        <w:tc>
          <w:tcPr>
            <w:tcW w:w="6365" w:type="dxa"/>
            <w:tcMar>
              <w:top w:w="70" w:type="dxa"/>
              <w:bottom w:w="70" w:type="dxa"/>
              <w:left w:w="0" w:type="dxa"/>
              <w:right w:w="100" w:type="dxa"/>
            </w:tcMar>
          </w:tcPr>
          <w:p>
            <w:pPr>
              <w:spacing w:before="0" w:after="0" w:line="240" w:lineRule="auto"/>
            </w:pPr>
            <w:r>
              <w:rPr>
                <w:b/>
                <w:color w:val="043C32"/>
                <w:sz w:val="21"/>
                <w:shd w:val="clear" w:color="auto" w:fill="F1FCE5"/>
              </w:rPr>
              <w:t xml:space="preserve">{{OVERAGE_RATE}}</w:t>
            </w:r>
            <w:r>
              <w:rPr>
                <w:color w:val="17211F"/>
                <w:sz w:val="21"/>
              </w:rPr>
              <w:t xml:space="preserve"> per hour</w:t>
            </w:r>
          </w:p>
        </w:tc>
      </w:tr>
      <w:tr>
        <w:tc>
          <w:tcPr>
            <w:tcW w:w="2995" w:type="dxa"/>
            <w:tcMar>
              <w:top w:w="70" w:type="dxa"/>
              <w:bottom w:w="70" w:type="dxa"/>
              <w:left w:w="0" w:type="dxa"/>
              <w:right w:w="100" w:type="dxa"/>
            </w:tcMar>
          </w:tcPr>
          <w:p>
            <w:pPr>
              <w:spacing w:before="0" w:after="0" w:line="240" w:lineRule="auto"/>
            </w:pPr>
            <w:r>
              <w:rPr>
                <w:b/>
                <w:color w:val="6B736F"/>
                <w:sz w:val="20"/>
              </w:rPr>
              <w:t xml:space="preserve">Minimum commitment</w:t>
            </w:r>
          </w:p>
        </w:tc>
        <w:tc>
          <w:tcPr>
            <w:tcW w:w="6365" w:type="dxa"/>
            <w:tcMar>
              <w:top w:w="70" w:type="dxa"/>
              <w:bottom w:w="70" w:type="dxa"/>
              <w:left w:w="0" w:type="dxa"/>
              <w:right w:w="100" w:type="dxa"/>
            </w:tcMar>
          </w:tcPr>
          <w:p>
            <w:pPr>
              <w:spacing w:before="0" w:after="0" w:line="240" w:lineRule="auto"/>
            </w:pPr>
            <w:r>
              <w:rPr>
                <w:b/>
                <w:color w:val="043C32"/>
                <w:sz w:val="21"/>
                <w:shd w:val="clear" w:color="auto" w:fill="F1FCE5"/>
              </w:rPr>
              <w:t xml:space="preserve">{{MINIMUM_MONTHS}}</w:t>
            </w:r>
            <w:r>
              <w:rPr>
                <w:color w:val="17211F"/>
                <w:sz w:val="21"/>
              </w:rPr>
              <w:t xml:space="preserve"> months</w:t>
            </w:r>
          </w:p>
        </w:tc>
      </w:tr>
      <w:tr>
        <w:tc>
          <w:tcPr>
            <w:tcW w:w="2995" w:type="dxa"/>
            <w:tcMar>
              <w:top w:w="70" w:type="dxa"/>
              <w:bottom w:w="70" w:type="dxa"/>
              <w:left w:w="0" w:type="dxa"/>
              <w:right w:w="100" w:type="dxa"/>
            </w:tcMar>
          </w:tcPr>
          <w:p>
            <w:pPr>
              <w:spacing w:before="0" w:after="0" w:line="240" w:lineRule="auto"/>
            </w:pPr>
            <w:r>
              <w:rPr>
                <w:b/>
                <w:color w:val="6B736F"/>
                <w:sz w:val="20"/>
              </w:rPr>
              <w:t xml:space="preserve">Monthly period</w:t>
            </w:r>
          </w:p>
        </w:tc>
        <w:tc>
          <w:tcPr>
            <w:tcW w:w="6365" w:type="dxa"/>
            <w:tcMar>
              <w:top w:w="70" w:type="dxa"/>
              <w:bottom w:w="70" w:type="dxa"/>
              <w:left w:w="0" w:type="dxa"/>
              <w:right w:w="100" w:type="dxa"/>
            </w:tcMar>
          </w:tcPr>
          <w:p>
            <w:pPr>
              <w:spacing w:before="0" w:after="0" w:line="240" w:lineRule="auto"/>
            </w:pPr>
            <w:r>
              <w:rPr>
                <w:color w:val="17211F"/>
                <w:sz w:val="21"/>
              </w:rPr>
              <w:t xml:space="preserve">Calendar month, from the 1st to the last day</w:t>
            </w:r>
          </w:p>
        </w:tc>
      </w:tr>
    </w:tbl>
    <w:p>
      <w:pPr>
        <w:spacing w:after="0" w:line="120" w:lineRule="auto"/>
      </w:pPr>
    </w:p>
    <w:p>
      <w:pPr>
        <w:spacing w:before="0" w:after="140" w:line="276" w:lineRule="auto"/>
      </w:pPr>
      <w:r>
        <w:rPr>
          <w:color w:val="17211F"/>
          <w:sz w:val="22"/>
        </w:rPr>
        <w:t xml:space="preserve">The retainer reserves the included hours for the Client whether or not they are used. Time is recorded to the nearest </w:t>
      </w:r>
      <w:r>
        <w:rPr>
          <w:b/>
          <w:color w:val="043C32"/>
          <w:sz w:val="22"/>
          <w:shd w:val="clear" w:color="auto" w:fill="F1FCE5"/>
        </w:rPr>
        <w:t xml:space="preserve">{{ROUNDING_MINUTES}}</w:t>
      </w:r>
      <w:r>
        <w:rPr>
          <w:color w:val="17211F"/>
          <w:sz w:val="22"/>
        </w:rPr>
        <w:t xml:space="preserve"> minutes and a summary is provided with each invoice.</w:t>
      </w:r>
    </w:p>
    <w:p>
      <w:pPr>
        <w:keepNext/>
        <w:keepLines/>
        <w:spacing w:before="280" w:after="100" w:line="276" w:lineRule="auto"/>
        <w:pBdr>
          <w:bottom w:val="single" w:sz="4" w:space="4" w:color="DFE4E0"/>
        </w:pBdr>
      </w:pPr>
      <w:r>
        <w:rPr>
          <w:b/>
          <w:color w:val="043C32"/>
          <w:sz w:val="26"/>
        </w:rPr>
        <w:t xml:space="preserve">4. Unused hours</w:t>
      </w:r>
    </w:p>
    <w:p>
      <w:pPr>
        <w:keepNext/>
        <w:keepLines/>
        <w:spacing w:before="220" w:after="60" w:line="276" w:lineRule="auto"/>
      </w:pPr>
      <w:r>
        <w:rPr>
          <w:b/>
          <w:color w:val="043C32"/>
          <w:sz w:val="23"/>
        </w:rPr>
        <w:t xml:space="preserve">Choose one of the following and delete the other two</w:t>
      </w:r>
    </w:p>
    <w:p>
      <w:pPr>
        <w:spacing w:before="0" w:after="120" w:line="276" w:lineRule="auto"/>
      </w:pPr>
      <w:r>
        <w:rPr>
          <w:i/>
          <w:color w:val="6B736F"/>
          <w:sz w:val="20"/>
        </w:rPr>
        <w:t xml:space="preserve">The right answer depends on whether the Client is buying output or availability. Keep only the option that matches this agreement — leaving all three in makes the clause meaningless.</w:t>
      </w:r>
    </w:p>
    <w:p>
      <w:pPr>
        <w:spacing w:before="120" w:after="40" w:line="276" w:lineRule="auto"/>
        <w:ind w:left="280" w:hanging="0"/>
      </w:pPr>
      <w:r>
        <w:rPr>
          <w:b/>
          <w:color w:val="17211F"/>
          <w:sz w:val="21"/>
        </w:rPr>
        <w:t xml:space="preserve">Option A — Unused hours expire</w:t>
      </w:r>
    </w:p>
    <w:p>
      <w:pPr>
        <w:spacing w:before="0" w:after="60" w:line="276" w:lineRule="auto"/>
        <w:ind w:left="280" w:hanging="0"/>
      </w:pPr>
      <w:r>
        <w:rPr>
          <w:color w:val="17211F"/>
          <w:sz w:val="21"/>
        </w:rPr>
        <w:t xml:space="preserve">Hours not used within a monthly period expire at the end of that period and do not carry forward. The retainer reserves capacity, and that capacity is held whether or not it is used.</w:t>
      </w:r>
    </w:p>
    <w:p>
      <w:pPr>
        <w:spacing w:before="120" w:after="40" w:line="276" w:lineRule="auto"/>
        <w:ind w:left="280" w:hanging="0"/>
      </w:pPr>
      <w:r>
        <w:rPr>
          <w:b/>
          <w:color w:val="17211F"/>
          <w:sz w:val="21"/>
        </w:rPr>
        <w:t xml:space="preserve">Option B — Unused hours roll over, up to a cap</w:t>
      </w:r>
    </w:p>
    <w:p>
      <w:pPr>
        <w:spacing w:before="0" w:after="60" w:line="276" w:lineRule="auto"/>
        <w:ind w:left="280" w:hanging="0"/>
      </w:pPr>
      <w:r>
        <w:rPr>
          <w:color w:val="17211F"/>
          <w:sz w:val="21"/>
        </w:rPr>
        <w:t xml:space="preserve">Up to </w:t>
      </w:r>
      <w:r>
        <w:rPr>
          <w:b/>
          <w:color w:val="043C32"/>
          <w:sz w:val="21"/>
          <w:shd w:val="clear" w:color="auto" w:fill="F1FCE5"/>
        </w:rPr>
        <w:t xml:space="preserve">{{ROLLOVER_CAP_HOURS}}</w:t>
      </w:r>
      <w:r>
        <w:rPr>
          <w:color w:val="17211F"/>
          <w:sz w:val="21"/>
        </w:rPr>
        <w:t xml:space="preserve"> unused hours carry forward into the following period. Rolled-over hours are used before that period’s included hours. Any balance above the cap expires.</w:t>
      </w:r>
    </w:p>
    <w:p>
      <w:pPr>
        <w:spacing w:before="120" w:after="40" w:line="276" w:lineRule="auto"/>
        <w:ind w:left="280" w:hanging="0"/>
      </w:pPr>
      <w:r>
        <w:rPr>
          <w:b/>
          <w:color w:val="17211F"/>
          <w:sz w:val="21"/>
        </w:rPr>
        <w:t xml:space="preserve">Option C — Unused hours roll over for a limited time</w:t>
      </w:r>
    </w:p>
    <w:p>
      <w:pPr>
        <w:spacing w:before="0" w:after="60" w:line="276" w:lineRule="auto"/>
        <w:ind w:left="280" w:hanging="0"/>
      </w:pPr>
      <w:r>
        <w:rPr>
          <w:color w:val="17211F"/>
          <w:sz w:val="21"/>
        </w:rPr>
        <w:t xml:space="preserve">Unused hours carry forward and remain available for </w:t>
      </w:r>
      <w:r>
        <w:rPr>
          <w:b/>
          <w:color w:val="043C32"/>
          <w:sz w:val="21"/>
          <w:shd w:val="clear" w:color="auto" w:fill="F1FCE5"/>
        </w:rPr>
        <w:t xml:space="preserve">{{ROLLOVER_DAYS}}</w:t>
      </w:r>
      <w:r>
        <w:rPr>
          <w:color w:val="17211F"/>
          <w:sz w:val="21"/>
        </w:rPr>
        <w:t xml:space="preserve"> days from the end of the period in which they arose, after which they expire. Rolled-over hours are used before the current period’s included hours.</w:t>
      </w:r>
    </w:p>
    <w:p>
      <w:pPr>
        <w:keepNext/>
        <w:keepLines/>
        <w:spacing w:before="280" w:after="100" w:line="276" w:lineRule="auto"/>
        <w:pBdr>
          <w:bottom w:val="single" w:sz="4" w:space="4" w:color="DFE4E0"/>
        </w:pBdr>
      </w:pPr>
      <w:r>
        <w:rPr>
          <w:b/>
          <w:color w:val="043C32"/>
          <w:sz w:val="26"/>
        </w:rPr>
        <w:t xml:space="preserve">5. Work beyond the included hours</w:t>
      </w:r>
    </w:p>
    <w:p>
      <w:pPr>
        <w:keepNext/>
        <w:keepLines/>
        <w:spacing w:before="220" w:after="60" w:line="276" w:lineRule="auto"/>
      </w:pPr>
      <w:r>
        <w:rPr>
          <w:b/>
          <w:color w:val="043C32"/>
          <w:sz w:val="23"/>
        </w:rPr>
        <w:t xml:space="preserve">Choose one of the following and delete the other two</w:t>
      </w:r>
    </w:p>
    <w:p>
      <w:pPr>
        <w:spacing w:before="0" w:after="120" w:line="276" w:lineRule="auto"/>
      </w:pPr>
      <w:r>
        <w:rPr>
          <w:i/>
          <w:color w:val="6B736F"/>
          <w:sz w:val="20"/>
        </w:rPr>
        <w:t xml:space="preserve">This clause decides what happens at the moment the allowance runs out, which is the moment a retainer most often goes wrong.</w:t>
      </w:r>
    </w:p>
    <w:p>
      <w:pPr>
        <w:spacing w:before="120" w:after="40" w:line="276" w:lineRule="auto"/>
        <w:ind w:left="280" w:hanging="0"/>
      </w:pPr>
      <w:r>
        <w:rPr>
          <w:b/>
          <w:color w:val="17211F"/>
          <w:sz w:val="21"/>
        </w:rPr>
        <w:t xml:space="preserve">Option A — Work stops when the allowance is used</w:t>
      </w:r>
    </w:p>
    <w:p>
      <w:pPr>
        <w:spacing w:before="0" w:after="60" w:line="276" w:lineRule="auto"/>
        <w:ind w:left="280" w:hanging="0"/>
      </w:pPr>
      <w:r>
        <w:rPr>
          <w:color w:val="17211F"/>
          <w:sz w:val="21"/>
        </w:rPr>
        <w:t xml:space="preserve">When the included hours for a period are exhausted, the Contractor will notify the Client and pause further work until the next period begins or until additional hours are agreed in writing.</w:t>
      </w:r>
    </w:p>
    <w:p>
      <w:pPr>
        <w:spacing w:before="120" w:after="40" w:line="276" w:lineRule="auto"/>
        <w:ind w:left="280" w:hanging="0"/>
      </w:pPr>
      <w:r>
        <w:rPr>
          <w:b/>
          <w:color w:val="17211F"/>
          <w:sz w:val="21"/>
        </w:rPr>
        <w:t xml:space="preserve">Option B — Work continues only with written approval</w:t>
      </w:r>
    </w:p>
    <w:p>
      <w:pPr>
        <w:spacing w:before="0" w:after="60" w:line="276" w:lineRule="auto"/>
        <w:ind w:left="280" w:hanging="0"/>
      </w:pPr>
      <w:r>
        <w:rPr>
          <w:color w:val="17211F"/>
          <w:sz w:val="21"/>
        </w:rPr>
        <w:t xml:space="preserve">When the included hours are exhausted, the Contractor will notify the Client with an estimate of the additional hours required. Further work begins only once the Client approves it in writing, and is billed at the overage rate.</w:t>
      </w:r>
    </w:p>
    <w:p>
      <w:pPr>
        <w:spacing w:before="120" w:after="40" w:line="276" w:lineRule="auto"/>
        <w:ind w:left="280" w:hanging="0"/>
      </w:pPr>
      <w:r>
        <w:rPr>
          <w:b/>
          <w:color w:val="17211F"/>
          <w:sz w:val="21"/>
        </w:rPr>
        <w:t xml:space="preserve">Option C — Additional hours are billed automatically</w:t>
      </w:r>
    </w:p>
    <w:p>
      <w:pPr>
        <w:spacing w:before="0" w:after="60" w:line="276" w:lineRule="auto"/>
        <w:ind w:left="280" w:hanging="0"/>
      </w:pPr>
      <w:r>
        <w:rPr>
          <w:color w:val="17211F"/>
          <w:sz w:val="21"/>
        </w:rPr>
        <w:t xml:space="preserve">Hours beyond the included allowance are billed at the overage rate on the following invoice, up to a maximum of </w:t>
      </w:r>
      <w:r>
        <w:rPr>
          <w:b/>
          <w:color w:val="043C32"/>
          <w:sz w:val="21"/>
          <w:shd w:val="clear" w:color="auto" w:fill="F1FCE5"/>
        </w:rPr>
        <w:t xml:space="preserve">{{OVERAGE_CAP_HOURS}}</w:t>
      </w:r>
      <w:r>
        <w:rPr>
          <w:color w:val="17211F"/>
          <w:sz w:val="21"/>
        </w:rPr>
        <w:t xml:space="preserve"> hours per period. Beyond that cap, written approval is required.</w:t>
      </w:r>
    </w:p>
    <w:p>
      <w:pPr>
        <w:spacing w:before="0" w:after="140" w:line="276" w:lineRule="auto"/>
      </w:pPr>
      <w:r>
        <w:rPr>
          <w:color w:val="17211F"/>
          <w:sz w:val="22"/>
        </w:rPr>
        <w:t xml:space="preserve">Whichever option applies, the Contractor will tell the Client when usage reaches </w:t>
      </w:r>
      <w:r>
        <w:rPr>
          <w:b/>
          <w:color w:val="043C32"/>
          <w:sz w:val="22"/>
          <w:shd w:val="clear" w:color="auto" w:fill="F1FCE5"/>
        </w:rPr>
        <w:t xml:space="preserve">{{WARNING_PERCENT}}</w:t>
      </w:r>
      <w:r>
        <w:rPr>
          <w:color w:val="17211F"/>
          <w:sz w:val="22"/>
        </w:rPr>
        <w:t xml:space="preserve"> of the included hours, so the decision is taken before the allowance is spent rather than after.</w:t>
      </w:r>
    </w:p>
    <w:p>
      <w:r>
        <w:br w:type="page"/>
      </w:r>
    </w:p>
    <w:p>
      <w:pPr>
        <w:keepNext/>
        <w:keepLines/>
        <w:spacing w:before="280" w:after="100" w:line="276" w:lineRule="auto"/>
        <w:pBdr>
          <w:bottom w:val="single" w:sz="4" w:space="4" w:color="DFE4E0"/>
        </w:pBdr>
      </w:pPr>
      <w:r>
        <w:rPr>
          <w:b/>
          <w:color w:val="043C32"/>
          <w:sz w:val="26"/>
        </w:rPr>
        <w:t xml:space="preserve">6. Billing and payment</w:t>
      </w:r>
    </w:p>
    <w:p>
      <w:pPr>
        <w:spacing w:before="0" w:after="70" w:line="276" w:lineRule="auto"/>
        <w:ind w:left="340" w:hanging="200"/>
      </w:pPr>
      <w:r>
        <w:rPr>
          <w:color w:val="043C32"/>
          <w:sz w:val="22"/>
        </w:rPr>
        <w:t xml:space="preserve">•  </w:t>
      </w:r>
      <w:r>
        <w:rPr>
          <w:color w:val="17211F"/>
          <w:sz w:val="22"/>
        </w:rPr>
        <w:t xml:space="preserve">The retainer is invoiced </w:t>
      </w:r>
      <w:r>
        <w:rPr>
          <w:b/>
          <w:color w:val="043C32"/>
          <w:sz w:val="22"/>
          <w:shd w:val="clear" w:color="auto" w:fill="F1FCE5"/>
        </w:rPr>
        <w:t xml:space="preserve">{{BILLING_TIMING}}</w:t>
      </w:r>
      <w:r>
        <w:rPr>
          <w:color w:val="17211F"/>
          <w:sz w:val="22"/>
        </w:rPr>
        <w:t xml:space="preserve"> of each period.</w:t>
      </w:r>
    </w:p>
    <w:p>
      <w:pPr>
        <w:spacing w:before="0" w:after="70" w:line="276" w:lineRule="auto"/>
        <w:ind w:left="340" w:hanging="200"/>
      </w:pPr>
      <w:r>
        <w:rPr>
          <w:color w:val="043C32"/>
          <w:sz w:val="22"/>
        </w:rPr>
        <w:t xml:space="preserve">•  </w:t>
      </w:r>
      <w:r>
        <w:rPr>
          <w:color w:val="17211F"/>
          <w:sz w:val="22"/>
        </w:rPr>
        <w:t xml:space="preserve">Overage, where it applies, is invoiced in arrears with the following period’s retainer.</w:t>
      </w:r>
    </w:p>
    <w:p>
      <w:pPr>
        <w:spacing w:before="0" w:after="70" w:line="276" w:lineRule="auto"/>
        <w:ind w:left="340" w:hanging="200"/>
      </w:pPr>
      <w:r>
        <w:rPr>
          <w:color w:val="043C32"/>
          <w:sz w:val="22"/>
        </w:rPr>
        <w:t xml:space="preserve">•  </w:t>
      </w:r>
      <w:r>
        <w:rPr>
          <w:color w:val="17211F"/>
          <w:sz w:val="22"/>
        </w:rPr>
        <w:t xml:space="preserve">Invoices are payable within </w:t>
      </w:r>
      <w:r>
        <w:rPr>
          <w:b/>
          <w:color w:val="043C32"/>
          <w:sz w:val="22"/>
          <w:shd w:val="clear" w:color="auto" w:fill="F1FCE5"/>
        </w:rPr>
        <w:t xml:space="preserve">{{PAYMENT_DUE_DAYS}}</w:t>
      </w:r>
      <w:r>
        <w:rPr>
          <w:color w:val="17211F"/>
          <w:sz w:val="22"/>
        </w:rPr>
        <w:t xml:space="preserve"> days of issue.</w:t>
      </w:r>
    </w:p>
    <w:p>
      <w:pPr>
        <w:spacing w:before="0" w:after="70" w:line="276" w:lineRule="auto"/>
        <w:ind w:left="340" w:hanging="200"/>
      </w:pPr>
      <w:r>
        <w:rPr>
          <w:color w:val="043C32"/>
          <w:sz w:val="22"/>
        </w:rPr>
        <w:t xml:space="preserve">•  </w:t>
      </w:r>
      <w:r>
        <w:rPr>
          <w:b/>
          <w:color w:val="043C32"/>
          <w:sz w:val="22"/>
          <w:shd w:val="clear" w:color="auto" w:fill="F1FCE5"/>
        </w:rPr>
        <w:t xml:space="preserve">{{LATE_PAYMENT_TERMS}}</w:t>
      </w:r>
    </w:p>
    <w:p>
      <w:pPr>
        <w:spacing w:before="0" w:after="70" w:line="276" w:lineRule="auto"/>
        <w:ind w:left="340" w:hanging="200"/>
      </w:pPr>
      <w:r>
        <w:rPr>
          <w:color w:val="043C32"/>
          <w:sz w:val="22"/>
        </w:rPr>
        <w:t xml:space="preserve">•  </w:t>
      </w:r>
      <w:r>
        <w:rPr>
          <w:color w:val="17211F"/>
          <w:sz w:val="22"/>
        </w:rPr>
        <w:t xml:space="preserve">Where payment is more than </w:t>
      </w:r>
      <w:r>
        <w:rPr>
          <w:b/>
          <w:color w:val="043C32"/>
          <w:sz w:val="22"/>
          <w:shd w:val="clear" w:color="auto" w:fill="F1FCE5"/>
        </w:rPr>
        <w:t xml:space="preserve">{{SUSPENSION_DAYS}}</w:t>
      </w:r>
      <w:r>
        <w:rPr>
          <w:color w:val="17211F"/>
          <w:sz w:val="22"/>
        </w:rPr>
        <w:t xml:space="preserve"> days overdue, the Contractor may pause work until the account is settled.</w:t>
      </w:r>
    </w:p>
    <w:p>
      <w:pPr>
        <w:keepNext/>
        <w:keepLines/>
        <w:spacing w:before="280" w:after="100" w:line="276" w:lineRule="auto"/>
        <w:pBdr>
          <w:bottom w:val="single" w:sz="4" w:space="4" w:color="DFE4E0"/>
        </w:pBdr>
      </w:pPr>
      <w:r>
        <w:rPr>
          <w:b/>
          <w:color w:val="043C32"/>
          <w:sz w:val="26"/>
        </w:rPr>
        <w:t xml:space="preserve">7. Availability and response</w:t>
      </w:r>
    </w:p>
    <w:tbl>
      <w:tblPr>
        <w:tblW w:w="0" w:type="auto"/>
        <w:tblBorders>
          <w:insideH w:val="single" w:sz="4" w:space="0" w:color="DFE4E0"/>
          <w:bottom w:val="single" w:sz="4" w:space="0" w:color="DFE4E0"/>
          <w:top w:val="single" w:sz="4" w:space="0" w:color="DFE4E0"/>
        </w:tblBorders>
        <w:tblLayout w:type="fixed"/>
      </w:tblPr>
      <w:tblGrid>
        <w:gridCol w:w="2995"/>
        <w:gridCol w:w="6365"/>
      </w:tblGrid>
      <w:tr>
        <w:tc>
          <w:tcPr>
            <w:tcW w:w="2995" w:type="dxa"/>
            <w:tcMar>
              <w:top w:w="70" w:type="dxa"/>
              <w:bottom w:w="70" w:type="dxa"/>
              <w:left w:w="0" w:type="dxa"/>
              <w:right w:w="100" w:type="dxa"/>
            </w:tcMar>
          </w:tcPr>
          <w:p>
            <w:pPr>
              <w:spacing w:before="0" w:after="0" w:line="240" w:lineRule="auto"/>
            </w:pPr>
            <w:r>
              <w:rPr>
                <w:b/>
                <w:color w:val="6B736F"/>
                <w:sz w:val="20"/>
              </w:rPr>
              <w:t xml:space="preserve">Working hours</w:t>
            </w:r>
          </w:p>
        </w:tc>
        <w:tc>
          <w:tcPr>
            <w:tcW w:w="6365" w:type="dxa"/>
            <w:tcMar>
              <w:top w:w="70" w:type="dxa"/>
              <w:bottom w:w="70" w:type="dxa"/>
              <w:left w:w="0" w:type="dxa"/>
              <w:right w:w="100" w:type="dxa"/>
            </w:tcMar>
          </w:tcPr>
          <w:p>
            <w:pPr>
              <w:spacing w:before="0" w:after="0" w:line="240" w:lineRule="auto"/>
            </w:pPr>
            <w:r>
              <w:rPr>
                <w:b/>
                <w:color w:val="043C32"/>
                <w:sz w:val="21"/>
                <w:shd w:val="clear" w:color="auto" w:fill="F1FCE5"/>
              </w:rPr>
              <w:t xml:space="preserve">{{WORKING_HOURS}}</w:t>
            </w:r>
          </w:p>
        </w:tc>
      </w:tr>
      <w:tr>
        <w:tc>
          <w:tcPr>
            <w:tcW w:w="2995" w:type="dxa"/>
            <w:tcMar>
              <w:top w:w="70" w:type="dxa"/>
              <w:bottom w:w="70" w:type="dxa"/>
              <w:left w:w="0" w:type="dxa"/>
              <w:right w:w="100" w:type="dxa"/>
            </w:tcMar>
          </w:tcPr>
          <w:p>
            <w:pPr>
              <w:spacing w:before="0" w:after="0" w:line="240" w:lineRule="auto"/>
            </w:pPr>
            <w:r>
              <w:rPr>
                <w:b/>
                <w:color w:val="6B736F"/>
                <w:sz w:val="20"/>
              </w:rPr>
              <w:t xml:space="preserve">Response time</w:t>
            </w:r>
          </w:p>
        </w:tc>
        <w:tc>
          <w:tcPr>
            <w:tcW w:w="6365" w:type="dxa"/>
            <w:tcMar>
              <w:top w:w="70" w:type="dxa"/>
              <w:bottom w:w="70" w:type="dxa"/>
              <w:left w:w="0" w:type="dxa"/>
              <w:right w:w="100" w:type="dxa"/>
            </w:tcMar>
          </w:tcPr>
          <w:p>
            <w:pPr>
              <w:spacing w:before="0" w:after="0" w:line="240" w:lineRule="auto"/>
            </w:pPr>
            <w:r>
              <w:rPr>
                <w:color w:val="17211F"/>
                <w:sz w:val="21"/>
              </w:rPr>
              <w:t xml:space="preserve">Within </w:t>
            </w:r>
            <w:r>
              <w:rPr>
                <w:b/>
                <w:color w:val="043C32"/>
                <w:sz w:val="21"/>
                <w:shd w:val="clear" w:color="auto" w:fill="F1FCE5"/>
              </w:rPr>
              <w:t xml:space="preserve">{{RESPONSE_DAYS}}</w:t>
            </w:r>
            <w:r>
              <w:rPr>
                <w:color w:val="17211F"/>
                <w:sz w:val="21"/>
              </w:rPr>
              <w:t xml:space="preserve"> working days</w:t>
            </w:r>
          </w:p>
        </w:tc>
      </w:tr>
      <w:tr>
        <w:tc>
          <w:tcPr>
            <w:tcW w:w="2995" w:type="dxa"/>
            <w:tcMar>
              <w:top w:w="70" w:type="dxa"/>
              <w:bottom w:w="70" w:type="dxa"/>
              <w:left w:w="0" w:type="dxa"/>
              <w:right w:w="100" w:type="dxa"/>
            </w:tcMar>
          </w:tcPr>
          <w:p>
            <w:pPr>
              <w:spacing w:before="0" w:after="0" w:line="240" w:lineRule="auto"/>
            </w:pPr>
            <w:r>
              <w:rPr>
                <w:b/>
                <w:color w:val="6B736F"/>
                <w:sz w:val="20"/>
              </w:rPr>
              <w:t xml:space="preserve">Main channel</w:t>
            </w:r>
          </w:p>
        </w:tc>
        <w:tc>
          <w:tcPr>
            <w:tcW w:w="6365" w:type="dxa"/>
            <w:tcMar>
              <w:top w:w="70" w:type="dxa"/>
              <w:bottom w:w="70" w:type="dxa"/>
              <w:left w:w="0" w:type="dxa"/>
              <w:right w:w="100" w:type="dxa"/>
            </w:tcMar>
          </w:tcPr>
          <w:p>
            <w:pPr>
              <w:spacing w:before="0" w:after="0" w:line="240" w:lineRule="auto"/>
            </w:pPr>
            <w:r>
              <w:rPr>
                <w:b/>
                <w:color w:val="043C32"/>
                <w:sz w:val="21"/>
                <w:shd w:val="clear" w:color="auto" w:fill="F1FCE5"/>
              </w:rPr>
              <w:t xml:space="preserve">{{COMMUNICATION_CHANNEL}}</w:t>
            </w:r>
          </w:p>
        </w:tc>
      </w:tr>
      <w:tr>
        <w:tc>
          <w:tcPr>
            <w:tcW w:w="2995" w:type="dxa"/>
            <w:tcMar>
              <w:top w:w="70" w:type="dxa"/>
              <w:bottom w:w="70" w:type="dxa"/>
              <w:left w:w="0" w:type="dxa"/>
              <w:right w:w="100" w:type="dxa"/>
            </w:tcMar>
          </w:tcPr>
          <w:p>
            <w:pPr>
              <w:spacing w:before="0" w:after="0" w:line="240" w:lineRule="auto"/>
            </w:pPr>
            <w:r>
              <w:rPr>
                <w:b/>
                <w:color w:val="6B736F"/>
                <w:sz w:val="20"/>
              </w:rPr>
              <w:t xml:space="preserve">Planned absence</w:t>
            </w:r>
          </w:p>
        </w:tc>
        <w:tc>
          <w:tcPr>
            <w:tcW w:w="6365" w:type="dxa"/>
            <w:tcMar>
              <w:top w:w="70" w:type="dxa"/>
              <w:bottom w:w="70" w:type="dxa"/>
              <w:left w:w="0" w:type="dxa"/>
              <w:right w:w="100" w:type="dxa"/>
            </w:tcMar>
          </w:tcPr>
          <w:p>
            <w:pPr>
              <w:spacing w:before="0" w:after="0" w:line="240" w:lineRule="auto"/>
            </w:pPr>
            <w:r>
              <w:rPr>
                <w:color w:val="17211F"/>
                <w:sz w:val="21"/>
              </w:rPr>
              <w:t xml:space="preserve">Notified at least </w:t>
            </w:r>
            <w:r>
              <w:rPr>
                <w:b/>
                <w:color w:val="043C32"/>
                <w:sz w:val="21"/>
                <w:shd w:val="clear" w:color="auto" w:fill="F1FCE5"/>
              </w:rPr>
              <w:t xml:space="preserve">{{ABSENCE_NOTICE_DAYS}}</w:t>
            </w:r>
            <w:r>
              <w:rPr>
                <w:color w:val="17211F"/>
                <w:sz w:val="21"/>
              </w:rPr>
              <w:t xml:space="preserve"> days in advance</w:t>
            </w:r>
          </w:p>
        </w:tc>
      </w:tr>
    </w:tbl>
    <w:p>
      <w:pPr>
        <w:spacing w:after="0" w:line="120" w:lineRule="auto"/>
      </w:pPr>
    </w:p>
    <w:p>
      <w:pPr>
        <w:spacing w:before="0" w:after="140" w:line="276" w:lineRule="auto"/>
      </w:pPr>
      <w:r>
        <w:rPr>
          <w:color w:val="17211F"/>
          <w:sz w:val="22"/>
        </w:rPr>
        <w:t xml:space="preserve">Response time means acknowledgement and a plan, not completion. Work is scheduled against the Contractor’s wider commitments; the retainer reserves hours, not immediate availability at any moment.</w:t>
      </w:r>
    </w:p>
    <w:p>
      <w:pPr>
        <w:keepNext/>
        <w:keepLines/>
        <w:spacing w:before="280" w:after="100" w:line="276" w:lineRule="auto"/>
        <w:pBdr>
          <w:bottom w:val="single" w:sz="4" w:space="4" w:color="DFE4E0"/>
        </w:pBdr>
      </w:pPr>
      <w:r>
        <w:rPr>
          <w:b/>
          <w:color w:val="043C32"/>
          <w:sz w:val="26"/>
        </w:rPr>
        <w:t xml:space="preserve">8. Client responsibilities</w:t>
      </w:r>
    </w:p>
    <w:p>
      <w:pPr>
        <w:spacing w:before="0" w:after="70" w:line="276" w:lineRule="auto"/>
        <w:ind w:left="340" w:hanging="200"/>
      </w:pPr>
      <w:r>
        <w:rPr>
          <w:color w:val="043C32"/>
          <w:sz w:val="22"/>
        </w:rPr>
        <w:t xml:space="preserve">•  </w:t>
      </w:r>
      <w:r>
        <w:rPr>
          <w:color w:val="17211F"/>
          <w:sz w:val="22"/>
        </w:rPr>
        <w:t xml:space="preserve">Nominate </w:t>
      </w:r>
      <w:r>
        <w:rPr>
          <w:b/>
          <w:color w:val="043C32"/>
          <w:sz w:val="22"/>
          <w:shd w:val="clear" w:color="auto" w:fill="F1FCE5"/>
        </w:rPr>
        <w:t xml:space="preserve">{{APPROVER_NAME}}</w:t>
      </w:r>
      <w:r>
        <w:rPr>
          <w:color w:val="17211F"/>
          <w:sz w:val="22"/>
        </w:rPr>
        <w:t xml:space="preserve"> as the main point of contact.</w:t>
      </w:r>
    </w:p>
    <w:p>
      <w:pPr>
        <w:spacing w:before="0" w:after="70" w:line="276" w:lineRule="auto"/>
        <w:ind w:left="340" w:hanging="200"/>
      </w:pPr>
      <w:r>
        <w:rPr>
          <w:color w:val="043C32"/>
          <w:sz w:val="22"/>
        </w:rPr>
        <w:t xml:space="preserve">•  </w:t>
      </w:r>
      <w:r>
        <w:rPr>
          <w:color w:val="17211F"/>
          <w:sz w:val="22"/>
        </w:rPr>
        <w:t xml:space="preserve">Provide the access, materials and decisions needed for the work to proceed.</w:t>
      </w:r>
    </w:p>
    <w:p>
      <w:pPr>
        <w:spacing w:before="0" w:after="70" w:line="276" w:lineRule="auto"/>
        <w:ind w:left="340" w:hanging="200"/>
      </w:pPr>
      <w:r>
        <w:rPr>
          <w:color w:val="043C32"/>
          <w:sz w:val="22"/>
        </w:rPr>
        <w:t xml:space="preserve">•  </w:t>
      </w:r>
      <w:r>
        <w:rPr>
          <w:color w:val="17211F"/>
          <w:sz w:val="22"/>
        </w:rPr>
        <w:t xml:space="preserve">Send requests through </w:t>
      </w:r>
      <w:r>
        <w:rPr>
          <w:b/>
          <w:color w:val="043C32"/>
          <w:sz w:val="22"/>
          <w:shd w:val="clear" w:color="auto" w:fill="F1FCE5"/>
        </w:rPr>
        <w:t xml:space="preserve">{{COMMUNICATION_CHANNEL}}</w:t>
      </w:r>
      <w:r>
        <w:rPr>
          <w:color w:val="17211F"/>
          <w:sz w:val="22"/>
        </w:rPr>
        <w:t xml:space="preserve"> so they can be recorded against the retainer.</w:t>
      </w:r>
    </w:p>
    <w:p>
      <w:pPr>
        <w:spacing w:before="0" w:after="70" w:line="276" w:lineRule="auto"/>
        <w:ind w:left="340" w:hanging="200"/>
      </w:pPr>
      <w:r>
        <w:rPr>
          <w:color w:val="043C32"/>
          <w:sz w:val="22"/>
        </w:rPr>
        <w:t xml:space="preserve">•  </w:t>
      </w:r>
      <w:r>
        <w:rPr>
          <w:color w:val="17211F"/>
          <w:sz w:val="22"/>
        </w:rPr>
        <w:t xml:space="preserve">Review the usage summary provided with each invoice and raise any query within </w:t>
      </w:r>
      <w:r>
        <w:rPr>
          <w:b/>
          <w:color w:val="043C32"/>
          <w:sz w:val="22"/>
          <w:shd w:val="clear" w:color="auto" w:fill="F1FCE5"/>
        </w:rPr>
        <w:t xml:space="preserve">{{QUERY_DAYS}}</w:t>
      </w:r>
      <w:r>
        <w:rPr>
          <w:color w:val="17211F"/>
          <w:sz w:val="22"/>
        </w:rPr>
        <w:t xml:space="preserve"> days.</w:t>
      </w:r>
    </w:p>
    <w:p>
      <w:pPr>
        <w:keepNext/>
        <w:keepLines/>
        <w:spacing w:before="280" w:after="100" w:line="276" w:lineRule="auto"/>
        <w:pBdr>
          <w:bottom w:val="single" w:sz="4" w:space="4" w:color="DFE4E0"/>
        </w:pBdr>
      </w:pPr>
      <w:r>
        <w:rPr>
          <w:b/>
          <w:color w:val="043C32"/>
          <w:sz w:val="26"/>
        </w:rPr>
        <w:t xml:space="preserve">9. Term, renewal and termination</w:t>
      </w:r>
    </w:p>
    <w:p>
      <w:pPr>
        <w:spacing w:before="0" w:after="70" w:line="276" w:lineRule="auto"/>
        <w:ind w:left="340" w:hanging="200"/>
      </w:pPr>
      <w:r>
        <w:rPr>
          <w:color w:val="043C32"/>
          <w:sz w:val="22"/>
        </w:rPr>
        <w:t xml:space="preserve">•  </w:t>
      </w:r>
      <w:r>
        <w:rPr>
          <w:color w:val="17211F"/>
          <w:sz w:val="22"/>
        </w:rPr>
        <w:t xml:space="preserve">This agreement begins on </w:t>
      </w:r>
      <w:r>
        <w:rPr>
          <w:b/>
          <w:color w:val="043C32"/>
          <w:sz w:val="22"/>
          <w:shd w:val="clear" w:color="auto" w:fill="F1FCE5"/>
        </w:rPr>
        <w:t xml:space="preserve">{{EFFECTIVE_DATE}}</w:t>
      </w:r>
      <w:r>
        <w:rPr>
          <w:color w:val="17211F"/>
          <w:sz w:val="22"/>
        </w:rPr>
        <w:t xml:space="preserve"> and runs for an initial term of </w:t>
      </w:r>
      <w:r>
        <w:rPr>
          <w:b/>
          <w:color w:val="043C32"/>
          <w:sz w:val="22"/>
          <w:shd w:val="clear" w:color="auto" w:fill="F1FCE5"/>
        </w:rPr>
        <w:t xml:space="preserve">{{INITIAL_TERM_MONTHS}}</w:t>
      </w:r>
      <w:r>
        <w:rPr>
          <w:color w:val="17211F"/>
          <w:sz w:val="22"/>
        </w:rPr>
        <w:t xml:space="preserve"> months.</w:t>
      </w:r>
    </w:p>
    <w:p>
      <w:pPr>
        <w:spacing w:before="0" w:after="70" w:line="276" w:lineRule="auto"/>
        <w:ind w:left="340" w:hanging="200"/>
      </w:pPr>
      <w:r>
        <w:rPr>
          <w:color w:val="043C32"/>
          <w:sz w:val="22"/>
        </w:rPr>
        <w:t xml:space="preserve">•  </w:t>
      </w:r>
      <w:r>
        <w:rPr>
          <w:color w:val="17211F"/>
          <w:sz w:val="22"/>
        </w:rPr>
        <w:t xml:space="preserve">After the initial term it continues month to month unless either party gives notice.</w:t>
      </w:r>
    </w:p>
    <w:p>
      <w:pPr>
        <w:spacing w:before="0" w:after="70" w:line="276" w:lineRule="auto"/>
        <w:ind w:left="340" w:hanging="200"/>
      </w:pPr>
      <w:r>
        <w:rPr>
          <w:color w:val="043C32"/>
          <w:sz w:val="22"/>
        </w:rPr>
        <w:t xml:space="preserve">•  </w:t>
      </w:r>
      <w:r>
        <w:rPr>
          <w:color w:val="17211F"/>
          <w:sz w:val="22"/>
        </w:rPr>
        <w:t xml:space="preserve">Either party may terminate by giving </w:t>
      </w:r>
      <w:r>
        <w:rPr>
          <w:b/>
          <w:color w:val="043C32"/>
          <w:sz w:val="22"/>
          <w:shd w:val="clear" w:color="auto" w:fill="F1FCE5"/>
        </w:rPr>
        <w:t xml:space="preserve">{{TERMINATION_NOTICE_DAYS}}</w:t>
      </w:r>
      <w:r>
        <w:rPr>
          <w:color w:val="17211F"/>
          <w:sz w:val="22"/>
        </w:rPr>
        <w:t xml:space="preserve"> days’ written notice.</w:t>
      </w:r>
    </w:p>
    <w:p>
      <w:pPr>
        <w:spacing w:before="0" w:after="70" w:line="276" w:lineRule="auto"/>
        <w:ind w:left="340" w:hanging="200"/>
      </w:pPr>
      <w:r>
        <w:rPr>
          <w:color w:val="043C32"/>
          <w:sz w:val="22"/>
        </w:rPr>
        <w:t xml:space="preserve">•  </w:t>
      </w:r>
      <w:r>
        <w:rPr>
          <w:color w:val="17211F"/>
          <w:sz w:val="22"/>
        </w:rPr>
        <w:t xml:space="preserve">The retainer for any period already begun remains payable in full.</w:t>
      </w:r>
    </w:p>
    <w:p>
      <w:pPr>
        <w:spacing w:before="0" w:after="70" w:line="276" w:lineRule="auto"/>
        <w:ind w:left="340" w:hanging="200"/>
      </w:pPr>
      <w:r>
        <w:rPr>
          <w:color w:val="043C32"/>
          <w:sz w:val="22"/>
        </w:rPr>
        <w:t xml:space="preserve">•  </w:t>
      </w:r>
      <w:r>
        <w:rPr>
          <w:color w:val="17211F"/>
          <w:sz w:val="22"/>
        </w:rPr>
        <w:t xml:space="preserve">Overage and expenses incurred before termination remain payable.</w:t>
      </w:r>
    </w:p>
    <w:p>
      <w:pPr>
        <w:spacing w:before="0" w:after="70" w:line="276" w:lineRule="auto"/>
        <w:ind w:left="340" w:hanging="200"/>
      </w:pPr>
      <w:r>
        <w:rPr>
          <w:color w:val="043C32"/>
          <w:sz w:val="22"/>
        </w:rPr>
        <w:t xml:space="preserve">•  </w:t>
      </w:r>
      <w:r>
        <w:rPr>
          <w:color w:val="17211F"/>
          <w:sz w:val="22"/>
        </w:rPr>
        <w:t xml:space="preserve">On termination the Contractor will deliver work in progress and any materials belonging to the Client.</w:t>
      </w:r>
    </w:p>
    <w:p>
      <w:pPr>
        <w:keepNext/>
        <w:keepLines/>
        <w:spacing w:before="280" w:after="100" w:line="276" w:lineRule="auto"/>
        <w:pBdr>
          <w:bottom w:val="single" w:sz="4" w:space="4" w:color="DFE4E0"/>
        </w:pBdr>
      </w:pPr>
      <w:r>
        <w:rPr>
          <w:b/>
          <w:color w:val="043C32"/>
          <w:sz w:val="26"/>
        </w:rPr>
        <w:t xml:space="preserve">10. Intellectual property</w:t>
      </w:r>
    </w:p>
    <w:p>
      <w:pPr>
        <w:spacing w:before="0" w:after="140" w:line="276" w:lineRule="auto"/>
      </w:pPr>
      <w:r>
        <w:rPr>
          <w:color w:val="17211F"/>
          <w:sz w:val="22"/>
        </w:rPr>
        <w:t xml:space="preserve">Ownership of deliverables produced under this agreement passes to the Client once the invoice covering the period in which they were produced has been paid in full. The Contractor retains ownership of pre-existing materials, tools and methods used to produce them, and grants the Client a licence to use those materials as part of the deliverables.</w:t>
      </w:r>
    </w:p>
    <w:p>
      <w:pPr>
        <w:spacing w:before="0" w:after="140" w:line="276" w:lineRule="auto"/>
      </w:pPr>
      <w:r>
        <w:rPr>
          <w:color w:val="17211F"/>
          <w:sz w:val="22"/>
        </w:rPr>
        <w:t xml:space="preserve">The Contractor may describe the work and show non-confidential examples in a portfolio unless the Client objects in writing.</w:t>
      </w:r>
    </w:p>
    <w:p>
      <w:pPr>
        <w:keepNext/>
        <w:keepLines/>
        <w:spacing w:before="280" w:after="100" w:line="276" w:lineRule="auto"/>
        <w:pBdr>
          <w:bottom w:val="single" w:sz="4" w:space="4" w:color="DFE4E0"/>
        </w:pBdr>
      </w:pPr>
      <w:r>
        <w:rPr>
          <w:b/>
          <w:color w:val="043C32"/>
          <w:sz w:val="26"/>
        </w:rPr>
        <w:t xml:space="preserve">11. Confidentiality</w:t>
      </w:r>
    </w:p>
    <w:p>
      <w:pPr>
        <w:spacing w:before="0" w:after="140" w:line="276" w:lineRule="auto"/>
      </w:pPr>
      <w:r>
        <w:rPr>
          <w:color w:val="17211F"/>
          <w:sz w:val="22"/>
        </w:rPr>
        <w:t xml:space="preserve">Each party will keep confidential any non-public information it receives from the other, and will use it only for the purposes of this agreement. This obligation continues for </w:t>
      </w:r>
      <w:r>
        <w:rPr>
          <w:b/>
          <w:color w:val="043C32"/>
          <w:sz w:val="22"/>
          <w:shd w:val="clear" w:color="auto" w:fill="F1FCE5"/>
        </w:rPr>
        <w:t xml:space="preserve">{{CONFIDENTIALITY_YEARS}}</w:t>
      </w:r>
      <w:r>
        <w:rPr>
          <w:color w:val="17211F"/>
          <w:sz w:val="22"/>
        </w:rPr>
        <w:t xml:space="preserve"> years after the agreement ends. It does not apply to information that is already public, that was known before disclosure, or that must be disclosed by law.</w:t>
      </w:r>
    </w:p>
    <w:p>
      <w:pPr>
        <w:keepNext/>
        <w:keepLines/>
        <w:spacing w:before="280" w:after="100" w:line="276" w:lineRule="auto"/>
        <w:pBdr>
          <w:bottom w:val="single" w:sz="4" w:space="4" w:color="DFE4E0"/>
        </w:pBdr>
      </w:pPr>
      <w:r>
        <w:rPr>
          <w:b/>
          <w:color w:val="043C32"/>
          <w:sz w:val="26"/>
        </w:rPr>
        <w:t xml:space="preserve">12. Independent contractor</w:t>
      </w:r>
    </w:p>
    <w:p>
      <w:pPr>
        <w:spacing w:before="0" w:after="140" w:line="276" w:lineRule="auto"/>
      </w:pPr>
      <w:r>
        <w:rPr>
          <w:color w:val="17211F"/>
          <w:sz w:val="22"/>
        </w:rPr>
        <w:t xml:space="preserve">The Contractor is an independent contractor and not an employee, partner or agent of the Client. The Contractor is responsible for their own taxes, insurance and equipment, decides how and when the work is performed, and may work for other clients.</w:t>
      </w:r>
    </w:p>
    <w:p>
      <w:pPr>
        <w:keepNext/>
        <w:keepLines/>
        <w:spacing w:before="280" w:after="100" w:line="276" w:lineRule="auto"/>
        <w:pBdr>
          <w:bottom w:val="single" w:sz="4" w:space="4" w:color="DFE4E0"/>
        </w:pBdr>
      </w:pPr>
      <w:r>
        <w:rPr>
          <w:b/>
          <w:color w:val="043C32"/>
          <w:sz w:val="26"/>
        </w:rPr>
        <w:t xml:space="preserve">13. General</w:t>
      </w:r>
    </w:p>
    <w:p>
      <w:pPr>
        <w:spacing w:before="0" w:after="70" w:line="276" w:lineRule="auto"/>
        <w:ind w:left="340" w:hanging="200"/>
      </w:pPr>
      <w:r>
        <w:rPr>
          <w:color w:val="043C32"/>
          <w:sz w:val="22"/>
        </w:rPr>
        <w:t xml:space="preserve">•  </w:t>
      </w:r>
      <w:r>
        <w:rPr>
          <w:color w:val="17211F"/>
          <w:sz w:val="22"/>
        </w:rPr>
        <w:t xml:space="preserve">This agreement is governed by the law of </w:t>
      </w:r>
      <w:r>
        <w:rPr>
          <w:b/>
          <w:color w:val="043C32"/>
          <w:sz w:val="22"/>
          <w:shd w:val="clear" w:color="auto" w:fill="F1FCE5"/>
        </w:rPr>
        <w:t xml:space="preserve">{{GOVERNING_LAW}}</w:t>
      </w:r>
      <w:r>
        <w:rPr>
          <w:color w:val="17211F"/>
          <w:sz w:val="22"/>
        </w:rPr>
        <w:t xml:space="preserve">.</w:t>
      </w:r>
    </w:p>
    <w:p>
      <w:pPr>
        <w:spacing w:before="0" w:after="70" w:line="276" w:lineRule="auto"/>
        <w:ind w:left="340" w:hanging="200"/>
      </w:pPr>
      <w:r>
        <w:rPr>
          <w:color w:val="043C32"/>
          <w:sz w:val="22"/>
        </w:rPr>
        <w:t xml:space="preserve">•  </w:t>
      </w:r>
      <w:r>
        <w:rPr>
          <w:color w:val="17211F"/>
          <w:sz w:val="22"/>
        </w:rPr>
        <w:t xml:space="preserve">It replaces any earlier agreement between the parties on the same subject.</w:t>
      </w:r>
    </w:p>
    <w:p>
      <w:pPr>
        <w:spacing w:before="0" w:after="70" w:line="276" w:lineRule="auto"/>
        <w:ind w:left="340" w:hanging="200"/>
      </w:pPr>
      <w:r>
        <w:rPr>
          <w:color w:val="043C32"/>
          <w:sz w:val="22"/>
        </w:rPr>
        <w:t xml:space="preserve">•  </w:t>
      </w:r>
      <w:r>
        <w:rPr>
          <w:color w:val="17211F"/>
          <w:sz w:val="22"/>
        </w:rPr>
        <w:t xml:space="preserve">Changes to it are effective only when agreed in writing by both parties.</w:t>
      </w:r>
    </w:p>
    <w:p>
      <w:pPr>
        <w:spacing w:before="0" w:after="70" w:line="276" w:lineRule="auto"/>
        <w:ind w:left="340" w:hanging="200"/>
      </w:pPr>
      <w:r>
        <w:rPr>
          <w:color w:val="043C32"/>
          <w:sz w:val="22"/>
        </w:rPr>
        <w:t xml:space="preserve">•  </w:t>
      </w:r>
      <w:r>
        <w:rPr>
          <w:color w:val="17211F"/>
          <w:sz w:val="22"/>
        </w:rPr>
        <w:t xml:space="preserve">If any clause is found unenforceable, the rest of the agreement continues to apply.</w:t>
      </w:r>
    </w:p>
    <w:p>
      <w:pPr>
        <w:keepNext/>
        <w:keepLines/>
        <w:spacing w:before="280" w:after="100" w:line="276" w:lineRule="auto"/>
        <w:pBdr>
          <w:bottom w:val="single" w:sz="4" w:space="4" w:color="DFE4E0"/>
        </w:pBdr>
      </w:pPr>
      <w:r>
        <w:rPr>
          <w:b/>
          <w:color w:val="043C32"/>
          <w:sz w:val="26"/>
        </w:rPr>
        <w:t xml:space="preserve">14. Signatures</w:t>
      </w:r>
    </w:p>
    <w:p>
      <w:pPr>
        <w:spacing w:after="0" w:line="120" w:lineRule="auto"/>
      </w:pPr>
    </w:p>
    <w:tbl>
      <w:tblPr>
        <w:tblW w:w="0" w:type="auto"/>
        <w:tblBorders/>
        <w:tblLayout w:type="fixed"/>
      </w:tblPr>
      <w:tblGrid>
        <w:gridCol w:w="4680"/>
        <w:gridCol w:w="4680"/>
      </w:tblGrid>
      <w:tr>
        <w:tc>
          <w:tcPr>
            <w:tcW w:w="4680" w:type="dxa"/>
            <w:tcMar>
              <w:right w:w="240" w:type="dxa"/>
            </w:tcMar>
          </w:tcPr>
          <w:p>
            <w:pPr>
              <w:spacing w:before="0" w:after="300" w:line="276" w:lineRule="auto"/>
            </w:pPr>
            <w:r>
              <w:rPr>
                <w:b/>
                <w:color w:val="6B736F"/>
                <w:sz w:val="20"/>
              </w:rPr>
              <w:t xml:space="preserve">For </w:t>
            </w:r>
            <w:r>
              <w:rPr>
                <w:b/>
                <w:color w:val="043C32"/>
                <w:sz w:val="20"/>
                <w:shd w:val="clear" w:color="auto" w:fill="F1FCE5"/>
              </w:rPr>
              <w:t xml:space="preserve">{{CLIENT_NAME}}</w:t>
            </w:r>
          </w:p>
          <w:p>
            <w:pPr>
              <w:spacing w:before="0" w:after="0" w:line="300" w:lineRule="auto"/>
              <w:pBdr>
                <w:bottom w:val="single" w:sz="4" w:space="4" w:color="DFE4E0"/>
              </w:pBdr>
            </w:pPr>
          </w:p>
          <w:p>
            <w:pPr>
              <w:spacing w:before="0" w:after="220" w:line="240" w:lineRule="auto"/>
            </w:pPr>
            <w:r>
              <w:rPr>
                <w:color w:val="6B736F"/>
                <w:sz w:val="17"/>
              </w:rPr>
              <w:t xml:space="preserve">Signature</w:t>
            </w:r>
          </w:p>
          <w:p>
            <w:pPr>
              <w:spacing w:before="0" w:after="0" w:line="300" w:lineRule="auto"/>
              <w:pBdr>
                <w:bottom w:val="single" w:sz="4" w:space="4" w:color="DFE4E0"/>
              </w:pBdr>
            </w:pPr>
          </w:p>
          <w:p>
            <w:pPr>
              <w:spacing w:before="0" w:after="220" w:line="240" w:lineRule="auto"/>
            </w:pPr>
            <w:r>
              <w:rPr>
                <w:color w:val="6B736F"/>
                <w:sz w:val="17"/>
              </w:rPr>
              <w:t xml:space="preserve">Name</w:t>
            </w:r>
          </w:p>
          <w:p>
            <w:pPr>
              <w:spacing w:before="0" w:after="0" w:line="300" w:lineRule="auto"/>
              <w:pBdr>
                <w:bottom w:val="single" w:sz="4" w:space="4" w:color="DFE4E0"/>
              </w:pBdr>
            </w:pPr>
          </w:p>
          <w:p>
            <w:pPr>
              <w:spacing w:before="0" w:after="220" w:line="240" w:lineRule="auto"/>
            </w:pPr>
            <w:r>
              <w:rPr>
                <w:color w:val="6B736F"/>
                <w:sz w:val="17"/>
              </w:rPr>
              <w:t xml:space="preserve">Date</w:t>
            </w:r>
          </w:p>
        </w:tc>
        <w:tc>
          <w:tcPr>
            <w:tcW w:w="4680" w:type="dxa"/>
            <w:tcMar>
              <w:right w:w="240" w:type="dxa"/>
            </w:tcMar>
          </w:tcPr>
          <w:p>
            <w:pPr>
              <w:spacing w:before="0" w:after="300" w:line="276" w:lineRule="auto"/>
            </w:pPr>
            <w:r>
              <w:rPr>
                <w:b/>
                <w:color w:val="6B736F"/>
                <w:sz w:val="20"/>
              </w:rPr>
              <w:t xml:space="preserve">For </w:t>
            </w:r>
            <w:r>
              <w:rPr>
                <w:b/>
                <w:color w:val="043C32"/>
                <w:sz w:val="20"/>
                <w:shd w:val="clear" w:color="auto" w:fill="F1FCE5"/>
              </w:rPr>
              <w:t xml:space="preserve">{{FREELANCER_BUSINESS}}</w:t>
            </w:r>
          </w:p>
          <w:p>
            <w:pPr>
              <w:spacing w:before="0" w:after="0" w:line="300" w:lineRule="auto"/>
              <w:pBdr>
                <w:bottom w:val="single" w:sz="4" w:space="4" w:color="DFE4E0"/>
              </w:pBdr>
            </w:pPr>
          </w:p>
          <w:p>
            <w:pPr>
              <w:spacing w:before="0" w:after="220" w:line="240" w:lineRule="auto"/>
            </w:pPr>
            <w:r>
              <w:rPr>
                <w:color w:val="6B736F"/>
                <w:sz w:val="17"/>
              </w:rPr>
              <w:t xml:space="preserve">Signature</w:t>
            </w:r>
          </w:p>
          <w:p>
            <w:pPr>
              <w:spacing w:before="0" w:after="0" w:line="300" w:lineRule="auto"/>
              <w:pBdr>
                <w:bottom w:val="single" w:sz="4" w:space="4" w:color="DFE4E0"/>
              </w:pBdr>
            </w:pPr>
          </w:p>
          <w:p>
            <w:pPr>
              <w:spacing w:before="0" w:after="220" w:line="240" w:lineRule="auto"/>
            </w:pPr>
            <w:r>
              <w:rPr>
                <w:color w:val="6B736F"/>
                <w:sz w:val="17"/>
              </w:rPr>
              <w:t xml:space="preserve">Name</w:t>
            </w:r>
          </w:p>
          <w:p>
            <w:pPr>
              <w:spacing w:before="0" w:after="0" w:line="300" w:lineRule="auto"/>
              <w:pBdr>
                <w:bottom w:val="single" w:sz="4" w:space="4" w:color="DFE4E0"/>
              </w:pBdr>
            </w:pPr>
          </w:p>
          <w:p>
            <w:pPr>
              <w:spacing w:before="0" w:after="220" w:line="240" w:lineRule="auto"/>
            </w:pPr>
            <w:r>
              <w:rPr>
                <w:color w:val="6B736F"/>
                <w:sz w:val="17"/>
              </w:rPr>
              <w:t xml:space="preserve">Date</w:t>
            </w:r>
          </w:p>
        </w:tc>
      </w:tr>
    </w:tbl>
    <w:p>
      <w:pPr>
        <w:spacing w:before="100" w:after="180" w:line="276" w:lineRule="auto"/>
      </w:pPr>
      <w:r>
        <w:rPr>
          <w:i/>
          <w:color w:val="6B736F"/>
          <w:sz w:val="19"/>
        </w:rPr>
        <w:t xml:space="preserve">Before sending: replace every </w:t>
      </w:r>
      <w:r>
        <w:rPr>
          <w:b/>
          <w:i/>
          <w:color w:val="043C32"/>
          <w:sz w:val="19"/>
          <w:shd w:val="clear" w:color="auto" w:fill="F1FCE5"/>
        </w:rPr>
        <w:t xml:space="preserve">{{PLACEHOLDER}}</w:t>
      </w:r>
      <w:r>
        <w:rPr>
          <w:i/>
          <w:color w:val="6B736F"/>
          <w:sz w:val="19"/>
        </w:rPr>
        <w:t xml:space="preserve">, and make sure exactly one option remains in sections 4 and 5.</w:t>
      </w:r>
    </w:p>
    <w:sectPr>
      <w:footerReference w:type="default" r:id="rIdFooter"/>
      <w:pgSz w:w="11909" w:h="16834"/>
      <w:pgMar w:top="1296" w:right="1296" w:bottom="1296" w:left="1296" w:header="720" w:footer="560" w:gutter="0"/>
    </w:sectPr>
  </w:body>
</w:document>
</file>

<file path=word/footer1.xml><?xml version="1.0" encoding="utf-8"?>
<w:ftr xmlns:w="http://schemas.openxmlformats.org/wordprocessingml/2006/main">
  <w:p>
    <w:pPr>
      <w:spacing w:after="0"/>
      <w:tabs>
        <w:tab w:val="right" w:pos="9360"/>
      </w:tabs>
    </w:pPr>
    <w:r>
      <w:rPr>
        <w:color w:val="6B736F"/>
        <w:sz w:val="15"/>
      </w:rPr>
      <w:t xml:space="preserve">Freshlance Template · version 1.0 · Updated September 2026 · freshlance.app/templates/freelance-retainer-agreement-template</w:t>
    </w:r>
    <w:r>
      <w:rPr>
        <w:color w:val="6B736F"/>
        <w:sz w:val="15"/>
      </w:rPr>
      <w:tab/>
    </w:r>
    <w:r>
      <w:rPr>
        <w:color w:val="6B736F"/>
        <w:sz w:val="15"/>
      </w:rPr>
      <w:fldChar w:fldCharType="begin"/>
    </w:r>
    <w:r>
      <w:instrText xml:space="preserve"> PAGE </w:instrText>
    </w:r>
    <w:r>
      <w:rPr>
        <w:color w:val="6B736F"/>
        <w:sz w:val="15"/>
      </w:rPr>
      <w:fldChar w:fldCharType="end"/>
    </w:r>
  </w:p>
</w:ftr>
</file>

<file path=word/styles.xml><?xml version="1.0" encoding="utf-8"?>
<w:styles xmlns:w="http://schemas.openxmlformats.org/wordprocessingml/2006/main">
  <w:docDefaults>
    <w:rPrDefault>
      <w:rPr>
        <w:rFonts w:ascii="Calibri" w:hAnsi="Calibri" w:cs="Calibri"/>
        <w:color w:val="17211F"/>
        <w:sz w:val="22"/>
      </w:rPr>
    </w:rPrDefault>
    <w:pPrDefault>
      <w:pPr>
        <w:spacing w:after="120" w:line="276" w:lineRule="auto"/>
      </w:pPr>
    </w:pPrDefault>
  </w:docDefaults>
  <w:style w:type="paragraph" w:default="1" w:styleId="Normal">
    <w:name w:val="Normal"/>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Footer" Type="http://schemas.openxmlformats.org/officeDocument/2006/relationships/footer" Target="footer1.xml"/></Relationships>
</file>

<file path=docProps/app.xml><?xml version="1.0" encoding="utf-8"?>
<Properties xmlns="http://schemas.openxmlformats.org/officeDocument/2006/extended-properties">
  <Application>Freshlance Template Generator</Application>
  <Company>Freshlance</Company>
</Properties>
</file>

<file path=docProps/core.xml><?xml version="1.0" encoding="utf-8"?>
<cp:coreProperties xmlns:cp="http://schemas.openxmlformats.org/package/2006/metadata/core-properties" xmlns:dc="http://purl.org/dc/elements/1.1/" xmlns:dcterms="http://purl.org/dc/terms/" xmlns:xsi="http://www.w3.org/2001/XMLSchema-instance">
  <dc:title>Freelance Retainer Agreement Template</dc:title>
  <dc:subject>A monthly retainer agreement covering included hours, overage rates, rollover, response times, term and termination.</dc:subject>
  <dc:creator>Freshlance</dc:creator>
  <cp:keywords>freelance template, freelance-retainer-agreement-template</cp:keywords>
  <cp:version>1.0</cp:version>
  <dcterms:created xsi:type="dcterms:W3CDTF">2026-09-21T00:00:00Z</dcterms:created>
  <dcterms:modified xsi:type="dcterms:W3CDTF">2026-09-21T00:00:00Z</dcterms:modified>
</cp:coreProperties>
</file>